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山东颐养健康集团淄博医院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住院二部室外污水管路和供暖管路改造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竞争性谈判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文件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一、响应单位须知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1.响应单位必须为经国家行政管理部门批准取得《营业执照》的合法经营单位。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2.响应单位严禁用不正当手段参与采购，如发现假技术指标、贿赂评审委员会成员的行为，取消其参加资格，并追究有关责任。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响应单位应仔细检查采购文件的所有内容，如有残缺等问题应在获得采购文件后3日内向采购人提出。采购人对于响应单位提出的问题，将以书面形式给予解答，由此引起的采购文件的修改将以修改通知的方式发出。否则，由此引起的损失由响应单位自己承担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4.在报名截止日期3天之前，采购人可以书面通知的方式修改采购文件。修改通知作为采购文件的组成部分，对响应供应商起同等约束作用。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5.采购文件、修改通知内容发生相互矛盾时，以最后发出的通知为准。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二、采购项目概况和项目范围(采用工程量清单招标的，应提供工程量清单)</w:t>
      </w:r>
    </w:p>
    <w:p>
      <w:pPr>
        <w:spacing w:line="580" w:lineRule="exact"/>
        <w:ind w:firstLine="60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附：报价清单：</w:t>
      </w:r>
    </w:p>
    <w:tbl>
      <w:tblPr>
        <w:tblStyle w:val="2"/>
        <w:tblpPr w:leftFromText="180" w:rightFromText="180" w:vertAnchor="text" w:horzAnchor="page" w:tblpXSpec="center" w:tblpY="450"/>
        <w:tblOverlap w:val="never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067"/>
        <w:gridCol w:w="602"/>
        <w:gridCol w:w="850"/>
        <w:gridCol w:w="992"/>
        <w:gridCol w:w="1134"/>
        <w:gridCol w:w="2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3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2"/>
                <w:szCs w:val="32"/>
              </w:rPr>
              <w:t>山东健康淄博医院住院二部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2"/>
                <w:szCs w:val="32"/>
              </w:rPr>
              <w:t>污水管和供暖管路改造报价清单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预算（报价）价格</w:t>
            </w:r>
          </w:p>
        </w:tc>
        <w:tc>
          <w:tcPr>
            <w:tcW w:w="2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原沥青地面割缝后拆除。125*2=250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暂定2米宽，包含拆除后垃圾外运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原混凝土路面割缝后拆除。125*2*0.2=50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暂定2米宽，包含拆除后垃圾外运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原供暖管路拆除（带聚氨酯保温，保护性拆除后用于新管路敷设）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原管沟沟底清理淤泥100米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清理沟底淤泥，确保沟底流水坡度不小于3%-5%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敷设PE400污水排水管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确保沟底流水坡度不小于3%-5%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敷设PE500污水排水管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确保沟底流水坡度不小于3%-5%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新管路四周回填2:8灰土夯实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在原排水沟基础上敷设管路后，管子四周回填灰土夯实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φ150供暖管路聚氨酯保温后沿综合管沟敷设，与原管路合茬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一供一回两条管路，包含倒运、支架等全费用。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φ150蝶阀（供暖管路用）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混凝土地面恢复（浇筑0.2厚C25混凝土随打随抹）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沥青面层恢复（热铺5厘米中型沥青面层）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砖砌检查井及800铸铁井盖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6米一个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施工期间彩钢板围护施工工作面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潜水泵排水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为不影响病区正常排水，施工期间需要潜水泵抽水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备注：为不影响正常排水和确保院区道路通行，要求分两段施工，连廊以西和连廊以东，中间主干道分两段施工，做好安全防护。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负责人：                 联系电话：</w:t>
      </w:r>
    </w:p>
    <w:p>
      <w:pPr>
        <w:spacing w:line="580" w:lineRule="exact"/>
        <w:rPr>
          <w:rFonts w:ascii="宋体" w:hAnsi="宋体" w:cs="Arial Unicode MS"/>
          <w:b/>
          <w:bCs/>
          <w:sz w:val="24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采购项目的技术要求和设计文件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按照《建筑施工规范》及相关国家要求施工标准施工。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为不影响医院正常诊疗流程，计划分段施工。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施工完成后配合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院方完成竣工图纸和竣工资料。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相关安全措施和安全防护由中标单位负责，费用中标单位承担。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参照投标单位可提前与基建部联系勘查现场，索取设计图纸和清单。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设计图纸请与基建部联系索取相关资料。</w:t>
      </w:r>
    </w:p>
    <w:p>
      <w:pPr>
        <w:spacing w:line="580" w:lineRule="exact"/>
        <w:ind w:firstLine="640" w:firstLineChars="200"/>
        <w:rPr>
          <w:rFonts w:asciiTheme="majorEastAsia" w:hAnsiTheme="majorEastAsia" w:eastAsiaTheme="majorEastAsia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四、否决响应条件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1.被责令停业的。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2.被暂停或取消响应资格的。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3.财产被接管或冻结的。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4.在最近三年内有骗取成交或严重违约或重大工程质量问题的。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5.与采购人存在利害关系且影响采购公正性的。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6.有串通采购或弄虚作假或有其他违法行为的。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7.不同响应单位的项目报价异常一致的（精确到人民币“元”）。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8.使用通过受让或者租借等方式获取的资格、资质证书，或以其他方式弄虚作假的。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五、评审方法和标准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评审方法：综合评分法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0"/>
          <w:szCs w:val="30"/>
        </w:rPr>
        <w:t>；最低评标价法□；性价比法□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评审标准：评标委员会将根据得分由高到低排列次序（得分相同时，以项目报价由低到高顺序排列；得分相同且报价相同的，按技术指标优劣顺序排列）并推荐成交候选人。</w:t>
      </w:r>
    </w:p>
    <w:p>
      <w:pPr>
        <w:spacing w:line="580" w:lineRule="exact"/>
        <w:ind w:firstLine="640" w:firstLineChars="200"/>
        <w:rPr>
          <w:rFonts w:asciiTheme="majorEastAsia" w:hAnsiTheme="majorEastAsia" w:eastAsiaTheme="majorEastAsia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六、提交材料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《营业执照》复印件加盖单位公章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2.《企业生产许可证》、《企业经营许可证》、《医疗器械注册证》复印件加盖单位公章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3.企业法人委托书、委托书应注明被委托人（营销员）姓名、委托事项、委托权限、委托人与被委托人承担的经济、法律责任等内容，委托书加盖单位公章，并由企业法人代表签字。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4.企业及经营设备简介，包括企业基本情况、设备的优点、市场占有率(列出用户名单及联系电话、联系人)、提供产品相关图片、售后服务情况等。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5.《代理证书》原件及复印件。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6.被委托营销员《身份证》原件及复印件。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A840E"/>
    <w:multiLevelType w:val="singleLevel"/>
    <w:tmpl w:val="B2AA84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2Q2OGJjYjAwMmY5YzZlN2JlNDFjYTY2MzYxOTEifQ=="/>
  </w:docVars>
  <w:rsids>
    <w:rsidRoot w:val="00000000"/>
    <w:rsid w:val="679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2024-05-16T00:59:11Z</dcterms:created>
  <dc:creator>Administrator</dc:creator>
  <cp:lastModifiedBy>Administrator</cp:lastModifiedBy>
  <dcterms:modified xsi:type="dcterms:W3CDTF">2024-05-16T01:09:58Z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31DA1FAB833B48F28B6F3C8FD6314E9A_12</vt:lpwstr>
  </property>
</Properties>
</file>