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山东颐养健康集团淄博医院大门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及院内局部道路拓宽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竞争性谈判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文件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一、响应单位须知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1.响应单位必须为经国家行政管理部门批准取得《营业执照》的合法经营单位。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2.响应单位严禁用不正当手段参与采购，如发现假技术指标、贿赂评审委员会成员的行为，取消其参加资格，并追究有关责任。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响应单位应仔细检查采购文件的所有内容，如有残缺等问题应在获得采购文件后3日内向采购人提出。采购人对于响应单位提出的问题，将以书面形式给予解答，由此引起的采购文件的修改将以修改通知的方式发出。否则，由此引起的损失由响应单位自己承担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4.在报名截止日期3天之前，采购人可以书面通知的方式修改采购文件。修改通知作为采购文件的组成部分，对响应供应商起同等约束作用。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5.采购文件、修改通知内容发生相互矛盾时，以最后发出的通知为准。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二、采购项目概况和项目范围(采用工程量清单招标的，应提供工程量清单)</w:t>
      </w:r>
    </w:p>
    <w:p>
      <w:pPr>
        <w:spacing w:line="580" w:lineRule="exact"/>
        <w:ind w:firstLine="60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附：报价清单：</w:t>
      </w:r>
    </w:p>
    <w:tbl>
      <w:tblPr>
        <w:tblStyle w:val="2"/>
        <w:tblW w:w="9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445"/>
        <w:gridCol w:w="810"/>
        <w:gridCol w:w="840"/>
        <w:gridCol w:w="825"/>
        <w:gridCol w:w="780"/>
        <w:gridCol w:w="3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69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6"/>
                <w:szCs w:val="36"/>
              </w:rPr>
              <w:t>院大门改造及部分道路拓宽项目报价单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拆除部分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拆除原门卫室上部装饰部分和南侧混凝土柱，保留门卫室和挑檐。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大理石面层保护性拆除，混凝土柱，装饰部分为砖混结构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南侧电动门门厢墙拆除四米至车棚边。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门厢墙表面大理石保护性拆除，备用。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拆除门内两侧路沿石并运送至指定地点（100米内）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31+8+20+12+30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拆除主道路北侧人行道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55.8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31*1.8砼垫层平铺转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拆除住院二部东门（应急出口）台阶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2.4*1.5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拆除垃圾外运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改造装修部分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门卫室挑檐拆除立面抹灰加4mm铝塑板封边，挑檐加两个三脚架加固支撑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灰色外墙铝塑板封口，两个支架铝塑板包梁4米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门卫室东墙开窗洞加过梁加60断桥铝窗双层钢化玻璃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铝窗1.5*2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门卫室南墙原铝窗拆除后更换断桥铝窗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报价含旧窗拆除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电动门门厢墙南侧延长四米，做法同原墙，拆除的大理石面层重新粘贴恢复原貌。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4*3.5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原绿化带和人行道处地基夯实，灰土垫层，</w:t>
            </w: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200MM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厚</w:t>
            </w: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C30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混凝土随浇随抹。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28*1.4+1.8*1.8+5.5*1.4+2.0*3.5+31*1.8+26*1.5=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厘米中粒沥青面层找补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人行道分割护栏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高度</w:t>
            </w: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60-80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厘米铝合金护栏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更换大门内加重铸铁篦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二部东门砖砌台阶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3.9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1.3*1.5*2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台阶处不锈钢护栏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1.3+1.8+1.8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拆除后再安装钢框架宣传栏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3.5*6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拆移安装不锈钢路灯3组及吊运景观石3组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进门处路两侧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门卫室内墙粉刷刮腻子两遍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综合单价，包括全部费用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tabs>
          <w:tab w:val="left" w:pos="5706"/>
        </w:tabs>
        <w:spacing w:line="580" w:lineRule="exact"/>
        <w:ind w:firstLine="640" w:firstLineChars="200"/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报价单位：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ab/>
        <w:t>联系人：</w:t>
      </w:r>
    </w:p>
    <w:p>
      <w:pPr>
        <w:numPr>
          <w:numId w:val="0"/>
        </w:numPr>
        <w:spacing w:line="58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numPr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Cs/>
          <w:sz w:val="32"/>
          <w:szCs w:val="32"/>
        </w:rPr>
        <w:t>采购项目的技术要求和设计文件</w:t>
      </w:r>
    </w:p>
    <w:p>
      <w:pPr>
        <w:numPr>
          <w:numId w:val="0"/>
        </w:num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1.按照《建筑施工规范》及相关国家要求施工标准施工。</w:t>
      </w:r>
    </w:p>
    <w:p>
      <w:pPr>
        <w:numPr>
          <w:numId w:val="0"/>
        </w:num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2.为不影响医院正常诊疗流程，计划分段施工。</w:t>
      </w:r>
    </w:p>
    <w:p>
      <w:pPr>
        <w:pStyle w:val="4"/>
        <w:numPr>
          <w:numId w:val="0"/>
        </w:num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3.施工完成后配合院方完成竣工图纸和竣工资料。</w:t>
      </w:r>
    </w:p>
    <w:p>
      <w:pPr>
        <w:pStyle w:val="4"/>
        <w:numPr>
          <w:numId w:val="0"/>
        </w:num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4.相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关安全措施和安全防护由中标单位负责，费用中标单位承担。</w:t>
      </w:r>
    </w:p>
    <w:p>
      <w:pPr>
        <w:pStyle w:val="4"/>
        <w:numPr>
          <w:numId w:val="0"/>
        </w:num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5.参照投标单位可提前与基建部联系勘查现场，索取设计图纸和清单。</w:t>
      </w:r>
    </w:p>
    <w:p>
      <w:pPr>
        <w:pStyle w:val="4"/>
        <w:numPr>
          <w:numId w:val="0"/>
        </w:num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6.设计图纸请与基建部联系索取相关资料。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四、否决响应条件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1.被责令停业的。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2.被暂停或取消响应资格的。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3.财产被接管或冻结的。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4.在最近三年内有骗取成交或严重违约或重大工程质量问题的。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5.与采购人存在利害关系且影响采购公正性的。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6.有串通采购或弄虚作假或有其他违法行为的。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7.不同响应单位的项目报价异常一致的（精确到人民币“元”）。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8.使用通过受让或者租借等方式获取的资格、资质证书，或以其他方式弄虚作假的。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五、评审方法和标准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评审方法：综合评分法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0"/>
          <w:szCs w:val="30"/>
        </w:rPr>
        <w:t>；最低评标价法□；性价比法□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评审标准：评标委员会将根据得分由高到低排列次序（得分相同时，以项目报价由低到高顺序排列；得分相同且报价相同的，按技术指标优劣顺序排列）并推荐成交候选人。</w:t>
      </w:r>
    </w:p>
    <w:p>
      <w:pPr>
        <w:spacing w:line="580" w:lineRule="exact"/>
        <w:ind w:firstLine="640" w:firstLineChars="200"/>
        <w:rPr>
          <w:rFonts w:asciiTheme="majorEastAsia" w:hAnsiTheme="majorEastAsia" w:eastAsiaTheme="majorEastAsia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六、提交材料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《营业执照》复印件加盖单位公章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2.《企业生产许可证》、《企业经营许可证》、《医疗器械注册证》复印件加盖单位公章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3.企业法人委托书、委托书应注明被委托人（营销员）姓名、委托事项、委托权限、委托人与被委托人承担的经济、法律责任等内容，委托书加盖单位公章，并由企业法人代表签字。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4.企业及经营设备简介，包括企业基本情况、设备的优点、市场占有率(列出用户名单及联系电话、联系人)、提供产品相关图片、售后服务情况等。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5.《代理证书》原件及复印件。</w:t>
      </w:r>
    </w:p>
    <w:p>
      <w:pPr>
        <w:ind w:firstLine="60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6.被委托营销员《身份证》原件及复印件。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2Q2OGJjYjAwMmY5YzZlN2JlNDFjYTY2MzYxOTEifQ=="/>
  </w:docVars>
  <w:rsids>
    <w:rsidRoot w:val="00000000"/>
    <w:rsid w:val="3718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2024-05-16T00:43:16Z</dcterms:created>
  <dc:creator>Administrator</dc:creator>
  <cp:lastModifiedBy>Administrator</cp:lastModifiedBy>
  <dcterms:modified xsi:type="dcterms:W3CDTF">2024-05-16T00:56:07Z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6E987BBAA1BB4FF5A24AFC5FFAF2EF8B_12</vt:lpwstr>
  </property>
</Properties>
</file>